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D7" w:rsidRDefault="00B62BD7" w:rsidP="00B62BD7">
      <w:r w:rsidRPr="001A4EDE">
        <w:rPr>
          <w:rFonts w:hint="eastAsia"/>
        </w:rPr>
        <w:t>附件：</w:t>
      </w:r>
    </w:p>
    <w:p w:rsidR="00B62BD7" w:rsidRDefault="00B62BD7" w:rsidP="00B62BD7"/>
    <w:p w:rsidR="00B62BD7" w:rsidRDefault="00B62BD7" w:rsidP="00B62BD7">
      <w:pPr>
        <w:pStyle w:val="a5"/>
        <w:numPr>
          <w:ilvl w:val="0"/>
          <w:numId w:val="2"/>
        </w:numPr>
        <w:ind w:firstLineChars="0"/>
      </w:pPr>
      <w:r>
        <w:rPr>
          <w:rFonts w:hint="eastAsia"/>
        </w:rPr>
        <w:t>规格参数</w:t>
      </w:r>
    </w:p>
    <w:p w:rsidR="00B62BD7" w:rsidRPr="001A4EDE" w:rsidRDefault="00B62BD7" w:rsidP="00B62BD7">
      <w:pPr>
        <w:pStyle w:val="a5"/>
        <w:ind w:left="420" w:firstLineChars="0" w:firstLine="0"/>
        <w:jc w:val="center"/>
      </w:pPr>
    </w:p>
    <w:tbl>
      <w:tblPr>
        <w:tblStyle w:val="a6"/>
        <w:tblW w:w="0" w:type="auto"/>
        <w:tblInd w:w="1155" w:type="dxa"/>
        <w:tblLook w:val="04A0" w:firstRow="1" w:lastRow="0" w:firstColumn="1" w:lastColumn="0" w:noHBand="0" w:noVBand="1"/>
      </w:tblPr>
      <w:tblGrid>
        <w:gridCol w:w="2417"/>
        <w:gridCol w:w="6803"/>
        <w:gridCol w:w="851"/>
      </w:tblGrid>
      <w:tr w:rsidR="00B62BD7" w:rsidTr="00016D88">
        <w:tc>
          <w:tcPr>
            <w:tcW w:w="2417" w:type="dxa"/>
          </w:tcPr>
          <w:p w:rsidR="00B62BD7" w:rsidRPr="00512FF8" w:rsidRDefault="00B62BD7" w:rsidP="00016D88">
            <w:pPr>
              <w:jc w:val="center"/>
              <w:rPr>
                <w:b/>
              </w:rPr>
            </w:pPr>
            <w:r w:rsidRPr="00512FF8">
              <w:rPr>
                <w:rFonts w:hint="eastAsia"/>
                <w:b/>
              </w:rPr>
              <w:t>设备名称</w:t>
            </w:r>
          </w:p>
        </w:tc>
        <w:tc>
          <w:tcPr>
            <w:tcW w:w="6803" w:type="dxa"/>
          </w:tcPr>
          <w:p w:rsidR="00B62BD7" w:rsidRPr="00512FF8" w:rsidRDefault="00B62BD7" w:rsidP="00016D88">
            <w:pPr>
              <w:jc w:val="center"/>
              <w:rPr>
                <w:b/>
              </w:rPr>
            </w:pPr>
            <w:r w:rsidRPr="00512FF8">
              <w:rPr>
                <w:rFonts w:hint="eastAsia"/>
                <w:b/>
              </w:rPr>
              <w:t>参数</w:t>
            </w:r>
          </w:p>
        </w:tc>
        <w:tc>
          <w:tcPr>
            <w:tcW w:w="851" w:type="dxa"/>
          </w:tcPr>
          <w:p w:rsidR="00B62BD7" w:rsidRPr="00512FF8" w:rsidRDefault="00B62BD7" w:rsidP="00016D88">
            <w:pPr>
              <w:jc w:val="center"/>
              <w:rPr>
                <w:b/>
              </w:rPr>
            </w:pPr>
            <w:r w:rsidRPr="00512FF8">
              <w:rPr>
                <w:rFonts w:hint="eastAsia"/>
                <w:b/>
              </w:rPr>
              <w:t>数量</w:t>
            </w:r>
          </w:p>
        </w:tc>
      </w:tr>
      <w:tr w:rsidR="00B62BD7" w:rsidTr="00016D88">
        <w:trPr>
          <w:trHeight w:val="5633"/>
        </w:trPr>
        <w:tc>
          <w:tcPr>
            <w:tcW w:w="2417" w:type="dxa"/>
            <w:vAlign w:val="center"/>
          </w:tcPr>
          <w:p w:rsidR="00B62BD7" w:rsidRDefault="00B62BD7" w:rsidP="00016D88">
            <w:pPr>
              <w:jc w:val="center"/>
            </w:pPr>
            <w:r>
              <w:rPr>
                <w:rFonts w:hint="eastAsia"/>
              </w:rPr>
              <w:t>网络视频存储服务器</w:t>
            </w:r>
          </w:p>
        </w:tc>
        <w:tc>
          <w:tcPr>
            <w:tcW w:w="6803" w:type="dxa"/>
          </w:tcPr>
          <w:p w:rsidR="00B62BD7" w:rsidRDefault="00B62BD7" w:rsidP="00016D88">
            <w:r>
              <w:rPr>
                <w:rFonts w:hint="eastAsia"/>
              </w:rPr>
              <w:t>（</w:t>
            </w:r>
            <w:r>
              <w:rPr>
                <w:rFonts w:hint="eastAsia"/>
              </w:rPr>
              <w:t>1</w:t>
            </w:r>
            <w:r>
              <w:rPr>
                <w:rFonts w:hint="eastAsia"/>
              </w:rPr>
              <w:t>）</w:t>
            </w:r>
            <w:r w:rsidRPr="00B552A7">
              <w:t>设备高度</w:t>
            </w:r>
            <w:r w:rsidRPr="00B552A7">
              <w:t>4U</w:t>
            </w:r>
            <w:r>
              <w:t>；</w:t>
            </w:r>
            <w:r w:rsidRPr="00B552A7">
              <w:t>24</w:t>
            </w:r>
            <w:r>
              <w:t>盘位</w:t>
            </w:r>
            <w:r w:rsidRPr="00B552A7">
              <w:t>；</w:t>
            </w:r>
            <w:r w:rsidRPr="00B552A7">
              <w:t>1</w:t>
            </w:r>
            <w:r w:rsidRPr="00B552A7">
              <w:t>个管理口</w:t>
            </w:r>
            <w:r w:rsidRPr="00B552A7">
              <w:t>4</w:t>
            </w:r>
            <w:r w:rsidRPr="00B552A7">
              <w:t>个千兆口；可扩展</w:t>
            </w:r>
            <w:r w:rsidRPr="00B552A7">
              <w:t>2</w:t>
            </w:r>
            <w:r w:rsidRPr="00B552A7">
              <w:t>个万兆口；</w:t>
            </w:r>
            <w:r w:rsidRPr="00B552A7">
              <w:t>SAS</w:t>
            </w:r>
            <w:r w:rsidRPr="00B552A7">
              <w:t>接口</w:t>
            </w:r>
            <w:r w:rsidRPr="00B552A7">
              <w:t>2</w:t>
            </w:r>
            <w:r w:rsidRPr="00B552A7">
              <w:t>个；</w:t>
            </w:r>
            <w:r w:rsidRPr="00B552A7">
              <w:t>1</w:t>
            </w:r>
            <w:r w:rsidRPr="00B552A7">
              <w:t>个</w:t>
            </w:r>
            <w:r w:rsidRPr="00B552A7">
              <w:t>USB2.0</w:t>
            </w:r>
            <w:r w:rsidRPr="00B552A7">
              <w:t>和</w:t>
            </w:r>
            <w:proofErr w:type="spellStart"/>
            <w:r w:rsidRPr="00B552A7">
              <w:t>eSATA</w:t>
            </w:r>
            <w:proofErr w:type="spellEnd"/>
            <w:r w:rsidRPr="00B552A7">
              <w:t>复用接口；</w:t>
            </w:r>
            <w:r w:rsidRPr="00B552A7">
              <w:t>1</w:t>
            </w:r>
            <w:r w:rsidRPr="00B552A7">
              <w:t>个</w:t>
            </w:r>
            <w:r w:rsidRPr="00B552A7">
              <w:t>RS232</w:t>
            </w:r>
            <w:r>
              <w:t>；</w:t>
            </w:r>
            <w:proofErr w:type="gramStart"/>
            <w:r w:rsidRPr="00B552A7">
              <w:t>高速缓存标配</w:t>
            </w:r>
            <w:proofErr w:type="gramEnd"/>
            <w:r w:rsidRPr="00B552A7">
              <w:t>4G</w:t>
            </w:r>
            <w:r>
              <w:t>。配置</w:t>
            </w:r>
            <w:r w:rsidRPr="005D5E78">
              <w:rPr>
                <w:rFonts w:hint="eastAsia"/>
              </w:rPr>
              <w:t>6T/SATA/7200rpm</w:t>
            </w:r>
            <w:r w:rsidRPr="005D5E78">
              <w:rPr>
                <w:rFonts w:hint="eastAsia"/>
              </w:rPr>
              <w:t>硬盘</w:t>
            </w:r>
            <w:r w:rsidRPr="005D5E78">
              <w:rPr>
                <w:rFonts w:hint="eastAsia"/>
              </w:rPr>
              <w:t>24</w:t>
            </w:r>
            <w:r w:rsidRPr="005D5E78">
              <w:rPr>
                <w:rFonts w:hint="eastAsia"/>
              </w:rPr>
              <w:t>块</w:t>
            </w:r>
            <w:r>
              <w:rPr>
                <w:rFonts w:hint="eastAsia"/>
              </w:rPr>
              <w:t>。</w:t>
            </w:r>
          </w:p>
          <w:p w:rsidR="00B62BD7" w:rsidRDefault="00B62BD7" w:rsidP="00016D88">
            <w:r>
              <w:t>（</w:t>
            </w:r>
            <w:r>
              <w:rPr>
                <w:rFonts w:hint="eastAsia"/>
              </w:rPr>
              <w:t>2</w:t>
            </w:r>
            <w:r>
              <w:rPr>
                <w:rFonts w:hint="eastAsia"/>
              </w:rPr>
              <w:t>）支持</w:t>
            </w:r>
            <w:r w:rsidRPr="00B552A7">
              <w:t>单盘</w:t>
            </w:r>
            <w:r>
              <w:t>、</w:t>
            </w:r>
            <w:r w:rsidRPr="00B552A7">
              <w:t>RAID0</w:t>
            </w:r>
            <w:r w:rsidRPr="00B552A7">
              <w:t>、</w:t>
            </w:r>
            <w:r w:rsidRPr="00B552A7">
              <w:t>1</w:t>
            </w:r>
            <w:r w:rsidRPr="00B552A7">
              <w:t>、</w:t>
            </w:r>
            <w:r w:rsidRPr="00B552A7">
              <w:t>5</w:t>
            </w:r>
            <w:r w:rsidRPr="00B552A7">
              <w:t>、</w:t>
            </w:r>
            <w:r w:rsidRPr="00B552A7">
              <w:t>6</w:t>
            </w:r>
            <w:r w:rsidRPr="00B552A7">
              <w:t>、</w:t>
            </w:r>
            <w:r w:rsidRPr="00B552A7">
              <w:t>JBOD</w:t>
            </w:r>
            <w:r w:rsidRPr="00B552A7">
              <w:t>、</w:t>
            </w:r>
            <w:r w:rsidRPr="00B552A7">
              <w:t>Hot-Spare</w:t>
            </w:r>
            <w:r w:rsidRPr="00B552A7">
              <w:t>（热备）、</w:t>
            </w:r>
            <w:r w:rsidRPr="00B552A7">
              <w:t>SRAID</w:t>
            </w:r>
            <w:r>
              <w:t>等。</w:t>
            </w:r>
          </w:p>
          <w:p w:rsidR="00B62BD7" w:rsidRDefault="00B62BD7" w:rsidP="00016D88">
            <w:r>
              <w:rPr>
                <w:rFonts w:hint="eastAsia"/>
              </w:rPr>
              <w:t>（</w:t>
            </w:r>
            <w:r>
              <w:rPr>
                <w:rFonts w:hint="eastAsia"/>
              </w:rPr>
              <w:t>3</w:t>
            </w:r>
            <w:r>
              <w:rPr>
                <w:rFonts w:hint="eastAsia"/>
              </w:rPr>
              <w:t>）</w:t>
            </w:r>
            <w:r w:rsidRPr="00B552A7">
              <w:t>支持</w:t>
            </w:r>
            <w:proofErr w:type="gramStart"/>
            <w:r w:rsidRPr="00B552A7">
              <w:t>全局热备和</w:t>
            </w:r>
            <w:proofErr w:type="gramEnd"/>
            <w:r w:rsidRPr="00B552A7">
              <w:t>局部热备</w:t>
            </w:r>
            <w:r>
              <w:t>；</w:t>
            </w:r>
            <w:r w:rsidRPr="00B552A7">
              <w:t>支持逻辑卷的动态在线扩展</w:t>
            </w:r>
            <w:r>
              <w:rPr>
                <w:rFonts w:hint="eastAsia"/>
              </w:rPr>
              <w:t>。</w:t>
            </w:r>
          </w:p>
          <w:p w:rsidR="00B62BD7" w:rsidRDefault="00B62BD7" w:rsidP="00016D88">
            <w:r>
              <w:rPr>
                <w:rFonts w:hint="eastAsia"/>
              </w:rPr>
              <w:t>（</w:t>
            </w:r>
            <w:r>
              <w:rPr>
                <w:rFonts w:hint="eastAsia"/>
              </w:rPr>
              <w:t>4</w:t>
            </w:r>
            <w:r>
              <w:rPr>
                <w:rFonts w:hint="eastAsia"/>
              </w:rPr>
              <w:t>）</w:t>
            </w:r>
            <w:r w:rsidRPr="00B552A7">
              <w:t>支持</w:t>
            </w:r>
            <w:r w:rsidRPr="00B552A7">
              <w:t>RAID</w:t>
            </w:r>
            <w:r w:rsidRPr="00B552A7">
              <w:t>误操作恢复功能，防止磁盘被误操作导致数据丢失，增加数据安全性</w:t>
            </w:r>
            <w:r>
              <w:t>。</w:t>
            </w:r>
          </w:p>
          <w:p w:rsidR="00B62BD7" w:rsidRDefault="00B62BD7" w:rsidP="00016D88">
            <w:r>
              <w:rPr>
                <w:rFonts w:hint="eastAsia"/>
              </w:rPr>
              <w:t>（</w:t>
            </w:r>
            <w:r>
              <w:rPr>
                <w:rFonts w:hint="eastAsia"/>
              </w:rPr>
              <w:t>5</w:t>
            </w:r>
            <w:r>
              <w:rPr>
                <w:rFonts w:hint="eastAsia"/>
              </w:rPr>
              <w:t>）</w:t>
            </w:r>
            <w:r w:rsidRPr="00B552A7">
              <w:t>支持对磁盘进行使用前预检和使用中巡检，及时报警</w:t>
            </w:r>
            <w:r>
              <w:t>。</w:t>
            </w:r>
          </w:p>
          <w:p w:rsidR="00B62BD7" w:rsidRDefault="00B62BD7" w:rsidP="00016D88">
            <w:r>
              <w:rPr>
                <w:rFonts w:hint="eastAsia"/>
              </w:rPr>
              <w:t>（</w:t>
            </w:r>
            <w:r>
              <w:rPr>
                <w:rFonts w:hint="eastAsia"/>
              </w:rPr>
              <w:t>6</w:t>
            </w:r>
            <w:r>
              <w:rPr>
                <w:rFonts w:hint="eastAsia"/>
              </w:rPr>
              <w:t>）</w:t>
            </w:r>
            <w:r w:rsidRPr="00B552A7">
              <w:t>自动识别磁盘的剩余空间容量，根据用户的数据存储需求，可划分多个容量不同的数据存储空间</w:t>
            </w:r>
            <w:r>
              <w:t>。</w:t>
            </w:r>
          </w:p>
          <w:p w:rsidR="00B62BD7" w:rsidRDefault="00B62BD7" w:rsidP="00016D88">
            <w:r>
              <w:rPr>
                <w:rFonts w:hint="eastAsia"/>
              </w:rPr>
              <w:t>（</w:t>
            </w:r>
            <w:r>
              <w:rPr>
                <w:rFonts w:hint="eastAsia"/>
              </w:rPr>
              <w:t>7</w:t>
            </w:r>
            <w:r>
              <w:rPr>
                <w:rFonts w:hint="eastAsia"/>
              </w:rPr>
              <w:t>）</w:t>
            </w:r>
            <w:r w:rsidRPr="00B552A7">
              <w:t>针对关键重要的视频，提供对实时流和历史视频进行加锁，确保不被循环覆盖</w:t>
            </w:r>
            <w:r>
              <w:t>。</w:t>
            </w:r>
          </w:p>
          <w:p w:rsidR="00B62BD7" w:rsidRDefault="00B62BD7" w:rsidP="00016D88">
            <w:r>
              <w:rPr>
                <w:rFonts w:hint="eastAsia"/>
              </w:rPr>
              <w:t>（</w:t>
            </w:r>
            <w:r>
              <w:rPr>
                <w:rFonts w:hint="eastAsia"/>
              </w:rPr>
              <w:t>8</w:t>
            </w:r>
            <w:r>
              <w:rPr>
                <w:rFonts w:hint="eastAsia"/>
              </w:rPr>
              <w:t>）</w:t>
            </w:r>
            <w:r w:rsidRPr="00B552A7">
              <w:t>支持</w:t>
            </w:r>
            <w:r w:rsidRPr="00B552A7">
              <w:t>SAS</w:t>
            </w:r>
            <w:r w:rsidRPr="00B552A7">
              <w:t>多级级联，保障系统存储容量的易扩展性</w:t>
            </w:r>
            <w:r>
              <w:t>。</w:t>
            </w:r>
          </w:p>
          <w:p w:rsidR="00B62BD7" w:rsidRDefault="00B62BD7" w:rsidP="00016D88">
            <w:r>
              <w:rPr>
                <w:rFonts w:hint="eastAsia"/>
              </w:rPr>
              <w:t>（</w:t>
            </w:r>
            <w:r>
              <w:rPr>
                <w:rFonts w:hint="eastAsia"/>
              </w:rPr>
              <w:t>9</w:t>
            </w:r>
            <w:r>
              <w:rPr>
                <w:rFonts w:hint="eastAsia"/>
              </w:rPr>
              <w:t>）</w:t>
            </w:r>
            <w:r w:rsidRPr="00B552A7">
              <w:t>支持</w:t>
            </w:r>
            <w:proofErr w:type="spellStart"/>
            <w:r w:rsidRPr="00B552A7">
              <w:t>Onvif</w:t>
            </w:r>
            <w:proofErr w:type="spellEnd"/>
            <w:r w:rsidRPr="00B552A7">
              <w:t>、</w:t>
            </w:r>
            <w:r w:rsidRPr="00B552A7">
              <w:t>GB28181</w:t>
            </w:r>
            <w:r>
              <w:t>等标准协议</w:t>
            </w:r>
            <w:r>
              <w:rPr>
                <w:rFonts w:hint="eastAsia"/>
              </w:rPr>
              <w:t>。</w:t>
            </w:r>
          </w:p>
          <w:p w:rsidR="00B62BD7" w:rsidRPr="00B552A7" w:rsidRDefault="00B62BD7" w:rsidP="00016D88">
            <w:r w:rsidRPr="00B552A7">
              <w:rPr>
                <w:rFonts w:hint="eastAsia"/>
              </w:rPr>
              <w:t>★</w:t>
            </w:r>
            <w:r>
              <w:rPr>
                <w:rFonts w:hint="eastAsia"/>
              </w:rPr>
              <w:t>（</w:t>
            </w:r>
            <w:r>
              <w:rPr>
                <w:rFonts w:hint="eastAsia"/>
              </w:rPr>
              <w:t>10</w:t>
            </w:r>
            <w:r>
              <w:rPr>
                <w:rFonts w:hint="eastAsia"/>
              </w:rPr>
              <w:t>）</w:t>
            </w:r>
            <w:r w:rsidRPr="00B552A7">
              <w:rPr>
                <w:rFonts w:hint="eastAsia"/>
              </w:rPr>
              <w:t>服务：</w:t>
            </w:r>
            <w:r w:rsidRPr="00B552A7">
              <w:t>需与学校现有视频监控管理平台</w:t>
            </w:r>
            <w:r>
              <w:rPr>
                <w:rFonts w:hint="eastAsia"/>
              </w:rPr>
              <w:t>无缝</w:t>
            </w:r>
            <w:r w:rsidRPr="00B552A7">
              <w:t>对接，提供原厂对接</w:t>
            </w:r>
            <w:proofErr w:type="gramStart"/>
            <w:r w:rsidRPr="00B552A7">
              <w:t>承诺函与原厂</w:t>
            </w:r>
            <w:proofErr w:type="gramEnd"/>
            <w:r w:rsidRPr="00B552A7">
              <w:t>三年免费售后服务承诺函原件（加盖原厂公章）。</w:t>
            </w:r>
          </w:p>
        </w:tc>
        <w:tc>
          <w:tcPr>
            <w:tcW w:w="851" w:type="dxa"/>
          </w:tcPr>
          <w:p w:rsidR="00B62BD7" w:rsidRDefault="00B62BD7" w:rsidP="00016D88">
            <w:r>
              <w:rPr>
                <w:rFonts w:hint="eastAsia"/>
              </w:rPr>
              <w:t>1</w:t>
            </w:r>
            <w:r>
              <w:rPr>
                <w:rFonts w:hint="eastAsia"/>
              </w:rPr>
              <w:t>台</w:t>
            </w:r>
          </w:p>
        </w:tc>
      </w:tr>
    </w:tbl>
    <w:p w:rsidR="00B62BD7" w:rsidRPr="00F862EE" w:rsidRDefault="00B62BD7" w:rsidP="00B62BD7"/>
    <w:p w:rsidR="00B62BD7" w:rsidRDefault="00B62BD7" w:rsidP="00B62BD7"/>
    <w:p w:rsidR="00B62BD7" w:rsidRDefault="00B62BD7" w:rsidP="00B62BD7"/>
    <w:p w:rsidR="00B62BD7" w:rsidRDefault="00B62BD7" w:rsidP="00B62BD7">
      <w:r>
        <w:rPr>
          <w:rFonts w:hint="eastAsia"/>
        </w:rPr>
        <w:t>二、商务部分</w:t>
      </w:r>
    </w:p>
    <w:p w:rsidR="00B62BD7" w:rsidRDefault="00B62BD7" w:rsidP="00B62BD7">
      <w:pPr>
        <w:adjustRightInd w:val="0"/>
        <w:snapToGrid w:val="0"/>
        <w:spacing w:line="360" w:lineRule="auto"/>
        <w:rPr>
          <w:rFonts w:ascii="Arial" w:hAnsi="Arial" w:cs="Arial"/>
          <w:b/>
          <w:sz w:val="24"/>
        </w:rPr>
      </w:pPr>
    </w:p>
    <w:p w:rsidR="00B62BD7" w:rsidRDefault="00B62BD7" w:rsidP="00B62BD7">
      <w:pPr>
        <w:adjustRightInd w:val="0"/>
        <w:snapToGrid w:val="0"/>
        <w:spacing w:line="360" w:lineRule="auto"/>
        <w:rPr>
          <w:rFonts w:ascii="Arial" w:hAnsi="Arial" w:cs="Arial"/>
          <w:b/>
          <w:sz w:val="24"/>
        </w:rPr>
      </w:pPr>
      <w:r>
        <w:rPr>
          <w:rFonts w:ascii="Arial" w:hAnsi="Arial" w:cs="Arial" w:hint="eastAsia"/>
          <w:b/>
          <w:sz w:val="24"/>
        </w:rPr>
        <w:t>1</w:t>
      </w:r>
      <w:r>
        <w:rPr>
          <w:rFonts w:ascii="Arial" w:hAnsi="Arial" w:cs="Arial" w:hint="eastAsia"/>
          <w:b/>
          <w:sz w:val="24"/>
        </w:rPr>
        <w:t>、工期进度要求</w:t>
      </w:r>
    </w:p>
    <w:p w:rsidR="00B62BD7" w:rsidRDefault="00B62BD7" w:rsidP="00B62BD7">
      <w:pPr>
        <w:adjustRightInd w:val="0"/>
        <w:snapToGrid w:val="0"/>
        <w:spacing w:line="360" w:lineRule="auto"/>
        <w:rPr>
          <w:rFonts w:ascii="宋体" w:hAnsi="宋体"/>
          <w:b/>
          <w:bCs/>
          <w:sz w:val="24"/>
        </w:rPr>
      </w:pPr>
      <w:r>
        <w:rPr>
          <w:rFonts w:ascii="Arial" w:hAnsi="Arial" w:cs="Arial" w:hint="eastAsia"/>
          <w:sz w:val="24"/>
        </w:rPr>
        <w:t>合同签订</w:t>
      </w:r>
      <w:r>
        <w:rPr>
          <w:rFonts w:ascii="Arial" w:hAnsi="Arial" w:cs="Arial" w:hint="eastAsia"/>
          <w:sz w:val="24"/>
        </w:rPr>
        <w:t>15</w:t>
      </w:r>
      <w:r>
        <w:rPr>
          <w:rFonts w:ascii="Arial" w:hAnsi="Arial" w:cs="Arial" w:hint="eastAsia"/>
          <w:sz w:val="24"/>
        </w:rPr>
        <w:t>日内</w:t>
      </w:r>
      <w:r>
        <w:rPr>
          <w:rFonts w:ascii="宋体" w:hAnsi="宋体" w:hint="eastAsia"/>
          <w:sz w:val="24"/>
        </w:rPr>
        <w:t>完成交货</w:t>
      </w:r>
      <w:r>
        <w:rPr>
          <w:rFonts w:ascii="Arial" w:hAnsi="Arial" w:cs="Arial" w:hint="eastAsia"/>
          <w:sz w:val="24"/>
        </w:rPr>
        <w:t>，并提供完整的验收方案。</w:t>
      </w:r>
    </w:p>
    <w:p w:rsidR="00B62BD7" w:rsidRDefault="00B62BD7" w:rsidP="00B62BD7">
      <w:pPr>
        <w:adjustRightInd w:val="0"/>
        <w:snapToGrid w:val="0"/>
        <w:spacing w:line="360" w:lineRule="auto"/>
        <w:rPr>
          <w:rFonts w:ascii="Arial" w:hAnsi="Arial" w:cs="Arial"/>
          <w:b/>
          <w:sz w:val="24"/>
        </w:rPr>
      </w:pPr>
      <w:r>
        <w:rPr>
          <w:rFonts w:ascii="Arial" w:hAnsi="Arial" w:cs="Arial" w:hint="eastAsia"/>
          <w:b/>
          <w:sz w:val="24"/>
        </w:rPr>
        <w:t>2</w:t>
      </w:r>
      <w:r>
        <w:rPr>
          <w:rFonts w:ascii="Arial" w:hAnsi="Arial" w:cs="Arial" w:hint="eastAsia"/>
          <w:b/>
          <w:sz w:val="24"/>
        </w:rPr>
        <w:t>、项目实施要求</w:t>
      </w:r>
    </w:p>
    <w:p w:rsidR="00B62BD7" w:rsidRDefault="00B62BD7" w:rsidP="00B62BD7">
      <w:pPr>
        <w:adjustRightInd w:val="0"/>
        <w:snapToGrid w:val="0"/>
        <w:spacing w:line="360" w:lineRule="auto"/>
        <w:rPr>
          <w:rFonts w:ascii="Arial" w:hAnsi="Arial" w:cs="Arial"/>
          <w:b/>
          <w:sz w:val="24"/>
        </w:rPr>
      </w:pPr>
      <w:r>
        <w:rPr>
          <w:rFonts w:ascii="Arial" w:hAnsi="Arial" w:cs="Arial" w:hint="eastAsia"/>
          <w:b/>
          <w:sz w:val="24"/>
        </w:rPr>
        <w:t>2.1</w:t>
      </w:r>
      <w:r>
        <w:rPr>
          <w:rFonts w:ascii="Arial" w:hAnsi="Arial" w:cs="Arial" w:hint="eastAsia"/>
          <w:b/>
          <w:sz w:val="24"/>
        </w:rPr>
        <w:t>本采购项目为交钥匙工程。</w:t>
      </w:r>
      <w:r>
        <w:rPr>
          <w:rFonts w:ascii="Arial" w:hAnsi="Arial" w:cs="Arial" w:hint="eastAsia"/>
          <w:sz w:val="24"/>
        </w:rPr>
        <w:t>投标人须提供包括人力、材料等资源以完成对系统及其配套硬件设备的采购、运输、安装集成、调试、试运行、人员培训以及后期服务等工作，投标人应根据项目要求和实际情况，详细列明项目所需的系统开发、测试、货物、配件、辅材，以及运输、装卸、安装集成、调试、验收等人工、管理（包括税费）等所有费用，如一旦中标，在项目实施中出现任何遗漏，均由中标人免费提供，采购人不再支付任何费用。采购人接受的是能够完全正常运行且满足招标要求的系统及配套硬件设备。</w:t>
      </w:r>
    </w:p>
    <w:p w:rsidR="00B62BD7" w:rsidRDefault="00B62BD7" w:rsidP="00B62BD7">
      <w:pPr>
        <w:adjustRightInd w:val="0"/>
        <w:snapToGrid w:val="0"/>
        <w:spacing w:line="360" w:lineRule="auto"/>
        <w:rPr>
          <w:rFonts w:ascii="Arial" w:hAnsi="Arial" w:cs="Arial"/>
          <w:b/>
          <w:sz w:val="24"/>
        </w:rPr>
      </w:pPr>
      <w:r>
        <w:rPr>
          <w:rFonts w:ascii="Arial" w:hAnsi="Arial" w:cs="Arial" w:hint="eastAsia"/>
          <w:b/>
          <w:sz w:val="24"/>
        </w:rPr>
        <w:t>2.2</w:t>
      </w:r>
      <w:r>
        <w:rPr>
          <w:rFonts w:ascii="Arial" w:hAnsi="Arial" w:cs="Arial" w:hint="eastAsia"/>
          <w:b/>
          <w:sz w:val="24"/>
        </w:rPr>
        <w:t>售后服务</w:t>
      </w:r>
    </w:p>
    <w:p w:rsidR="00B62BD7" w:rsidRDefault="00B62BD7" w:rsidP="00B62BD7">
      <w:pPr>
        <w:numPr>
          <w:ilvl w:val="0"/>
          <w:numId w:val="1"/>
        </w:numPr>
        <w:adjustRightInd w:val="0"/>
        <w:snapToGrid w:val="0"/>
        <w:spacing w:line="360" w:lineRule="auto"/>
        <w:rPr>
          <w:rFonts w:ascii="Arial" w:hAnsi="Arial" w:cs="Arial"/>
          <w:sz w:val="24"/>
        </w:rPr>
      </w:pPr>
      <w:r>
        <w:rPr>
          <w:rFonts w:ascii="Arial" w:hAnsi="Arial" w:cs="Arial" w:hint="eastAsia"/>
          <w:sz w:val="24"/>
        </w:rPr>
        <w:t>本项目整体质保期见下文质量保证。</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2</w:t>
      </w:r>
      <w:r>
        <w:rPr>
          <w:rFonts w:ascii="Arial" w:hAnsi="Arial" w:cs="Arial" w:hint="eastAsia"/>
          <w:sz w:val="24"/>
        </w:rPr>
        <w:t>）服务响应时间：硬件设备或系统如发生故障或技术指导，接到用户的函、电后，投标人应在</w:t>
      </w:r>
      <w:r>
        <w:rPr>
          <w:rFonts w:ascii="Arial" w:hAnsi="Arial" w:cs="Arial" w:hint="eastAsia"/>
          <w:sz w:val="24"/>
        </w:rPr>
        <w:t>24</w:t>
      </w:r>
      <w:r>
        <w:rPr>
          <w:rFonts w:ascii="Arial" w:hAnsi="Arial" w:cs="Arial" w:hint="eastAsia"/>
          <w:sz w:val="24"/>
        </w:rPr>
        <w:t>小时内响应，</w:t>
      </w:r>
      <w:r>
        <w:rPr>
          <w:rFonts w:ascii="Arial" w:hAnsi="Arial" w:cs="Arial" w:hint="eastAsia"/>
          <w:sz w:val="24"/>
        </w:rPr>
        <w:t>48</w:t>
      </w:r>
      <w:r>
        <w:rPr>
          <w:rFonts w:ascii="Arial" w:hAnsi="Arial" w:cs="Arial" w:hint="eastAsia"/>
          <w:sz w:val="24"/>
        </w:rPr>
        <w:t>小时内解决问题。</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3</w:t>
      </w:r>
      <w:r>
        <w:rPr>
          <w:rFonts w:ascii="Arial" w:hAnsi="Arial" w:cs="Arial" w:hint="eastAsia"/>
          <w:sz w:val="24"/>
        </w:rPr>
        <w:t>）投标人应对所供系统提供终身服务。质保期满后，投标人维修响应时间、服务质量承诺不变。提供技术咨询和维修服务。中标人根据实际的服务工作量统计，可与采购人另行协商服务费用收费标准。</w:t>
      </w:r>
    </w:p>
    <w:p w:rsidR="00B62BD7" w:rsidRDefault="00B62BD7" w:rsidP="00B62BD7">
      <w:pPr>
        <w:adjustRightInd w:val="0"/>
        <w:snapToGrid w:val="0"/>
        <w:spacing w:line="360" w:lineRule="auto"/>
        <w:rPr>
          <w:rFonts w:ascii="Arial" w:hAnsi="Arial" w:cs="Arial"/>
          <w:b/>
          <w:sz w:val="24"/>
        </w:rPr>
      </w:pPr>
      <w:r>
        <w:rPr>
          <w:rFonts w:ascii="Arial" w:hAnsi="Arial" w:cs="Arial" w:hint="eastAsia"/>
          <w:b/>
          <w:sz w:val="24"/>
        </w:rPr>
        <w:t>3</w:t>
      </w:r>
      <w:r>
        <w:rPr>
          <w:rFonts w:ascii="Arial" w:hAnsi="Arial" w:cs="Arial" w:hint="eastAsia"/>
          <w:b/>
          <w:sz w:val="24"/>
        </w:rPr>
        <w:t>、测试验收</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1</w:t>
      </w:r>
      <w:r>
        <w:rPr>
          <w:rFonts w:ascii="Arial" w:hAnsi="Arial" w:cs="Arial" w:hint="eastAsia"/>
          <w:sz w:val="24"/>
        </w:rPr>
        <w:t>）项目验收国家有强制性规定的，按国家规定执行，验收报告作为申请付款的凭证之一。</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2</w:t>
      </w:r>
      <w:r>
        <w:rPr>
          <w:rFonts w:ascii="Arial" w:hAnsi="Arial" w:cs="Arial" w:hint="eastAsia"/>
          <w:sz w:val="24"/>
        </w:rPr>
        <w:t>）验收过程中产生纠纷的，由质量技术监督部门认定的检测机构检测</w:t>
      </w:r>
      <w:r>
        <w:rPr>
          <w:rFonts w:ascii="Arial" w:hAnsi="Arial" w:cs="Arial" w:hint="eastAsia"/>
          <w:sz w:val="24"/>
        </w:rPr>
        <w:t>,</w:t>
      </w:r>
      <w:r>
        <w:rPr>
          <w:rFonts w:ascii="Arial" w:hAnsi="Arial" w:cs="Arial" w:hint="eastAsia"/>
          <w:sz w:val="24"/>
        </w:rPr>
        <w:t>如为中标</w:t>
      </w:r>
      <w:proofErr w:type="gramStart"/>
      <w:r>
        <w:rPr>
          <w:rFonts w:ascii="Arial" w:hAnsi="Arial" w:cs="Arial" w:hint="eastAsia"/>
          <w:sz w:val="24"/>
        </w:rPr>
        <w:t>人原因</w:t>
      </w:r>
      <w:proofErr w:type="gramEnd"/>
      <w:r>
        <w:rPr>
          <w:rFonts w:ascii="Arial" w:hAnsi="Arial" w:cs="Arial" w:hint="eastAsia"/>
          <w:sz w:val="24"/>
        </w:rPr>
        <w:t>造成的，由中标人承担检测费用；否则，由采</w:t>
      </w:r>
      <w:r>
        <w:rPr>
          <w:rFonts w:ascii="Arial" w:hAnsi="Arial" w:cs="Arial" w:hint="eastAsia"/>
          <w:sz w:val="24"/>
        </w:rPr>
        <w:lastRenderedPageBreak/>
        <w:t>购人承担。</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3</w:t>
      </w:r>
      <w:r>
        <w:rPr>
          <w:rFonts w:ascii="Arial" w:hAnsi="Arial" w:cs="Arial" w:hint="eastAsia"/>
          <w:sz w:val="24"/>
        </w:rPr>
        <w:t>）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rsidR="00B62BD7" w:rsidRDefault="00B62BD7" w:rsidP="00B62BD7">
      <w:pPr>
        <w:adjustRightInd w:val="0"/>
        <w:snapToGrid w:val="0"/>
        <w:spacing w:line="360" w:lineRule="auto"/>
        <w:rPr>
          <w:rFonts w:ascii="Arial" w:hAnsi="Arial" w:cs="Arial"/>
          <w:b/>
          <w:sz w:val="24"/>
        </w:rPr>
      </w:pPr>
      <w:r>
        <w:rPr>
          <w:rFonts w:ascii="Arial" w:hAnsi="Arial" w:cs="Arial" w:hint="eastAsia"/>
          <w:b/>
          <w:sz w:val="24"/>
        </w:rPr>
        <w:t>4</w:t>
      </w:r>
      <w:r>
        <w:rPr>
          <w:rFonts w:ascii="Arial" w:hAnsi="Arial" w:cs="Arial" w:hint="eastAsia"/>
          <w:b/>
          <w:sz w:val="24"/>
        </w:rPr>
        <w:t>、质量保证</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1</w:t>
      </w:r>
      <w:r>
        <w:rPr>
          <w:rFonts w:ascii="Arial" w:hAnsi="Arial" w:cs="Arial" w:hint="eastAsia"/>
          <w:sz w:val="24"/>
        </w:rPr>
        <w:t>）中标人提供的产品应符合国家质量检测标准；</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2</w:t>
      </w:r>
      <w:r>
        <w:rPr>
          <w:rFonts w:ascii="Arial" w:hAnsi="Arial" w:cs="Arial" w:hint="eastAsia"/>
          <w:sz w:val="24"/>
        </w:rPr>
        <w:t>）整体项目质保期要求：</w:t>
      </w:r>
      <w:r>
        <w:rPr>
          <w:rFonts w:ascii="Arial" w:hAnsi="Arial" w:cs="Arial" w:hint="eastAsia"/>
          <w:b/>
          <w:sz w:val="24"/>
        </w:rPr>
        <w:t>整体质保期三年，采购</w:t>
      </w:r>
      <w:bookmarkStart w:id="0" w:name="_GoBack"/>
      <w:bookmarkEnd w:id="0"/>
      <w:r>
        <w:rPr>
          <w:rFonts w:ascii="Arial" w:hAnsi="Arial" w:cs="Arial" w:hint="eastAsia"/>
          <w:b/>
          <w:sz w:val="24"/>
        </w:rPr>
        <w:t>清单子项目中对质保期有特殊规定的以子项目规定为主</w:t>
      </w:r>
      <w:r>
        <w:rPr>
          <w:rFonts w:ascii="Arial" w:hAnsi="Arial" w:cs="Arial" w:hint="eastAsia"/>
          <w:sz w:val="24"/>
        </w:rPr>
        <w:t>。在质保期内，</w:t>
      </w:r>
      <w:r>
        <w:rPr>
          <w:rFonts w:ascii="宋体" w:hAnsi="宋体" w:hint="eastAsia"/>
          <w:sz w:val="24"/>
        </w:rPr>
        <w:t>设备硬件安装使用过程中如发生任何质量问题，中标人应在服务响应时间内派人员免费提供现场更换或维修服务；系统安装测试使用过程中如发生任何不能正常运行使用问题，中标人应在服务响应时间内派人员免费提供维修服务；</w:t>
      </w:r>
      <w:r>
        <w:rPr>
          <w:rFonts w:ascii="Arial" w:hAnsi="Arial" w:cs="Arial" w:hint="eastAsia"/>
          <w:sz w:val="24"/>
        </w:rPr>
        <w:t>在保质期内，超出厂家正常保修范围的，中标人需向厂家购买并自行承担相关费用；未在投标报价表中单列其费用的，视为免费提供。</w:t>
      </w:r>
    </w:p>
    <w:p w:rsidR="00B62BD7" w:rsidRDefault="00B62BD7" w:rsidP="00B62BD7">
      <w:pPr>
        <w:adjustRightInd w:val="0"/>
        <w:snapToGrid w:val="0"/>
        <w:spacing w:line="360" w:lineRule="auto"/>
        <w:rPr>
          <w:rFonts w:ascii="Arial" w:hAnsi="Arial" w:cs="Arial"/>
          <w:sz w:val="24"/>
        </w:rPr>
      </w:pPr>
      <w:r>
        <w:rPr>
          <w:rFonts w:ascii="Arial" w:hAnsi="Arial" w:cs="Arial" w:hint="eastAsia"/>
          <w:sz w:val="24"/>
        </w:rPr>
        <w:t>3</w:t>
      </w:r>
      <w:r>
        <w:rPr>
          <w:rFonts w:ascii="Arial" w:hAnsi="Arial" w:cs="Arial" w:hint="eastAsia"/>
          <w:sz w:val="24"/>
        </w:rPr>
        <w:t>）质保期从验收合格后开始计算。质保期内所有软件维护升级（若有）和设备维护等要求免费上门服务。</w:t>
      </w:r>
    </w:p>
    <w:p w:rsidR="00B62BD7" w:rsidRDefault="00B62BD7" w:rsidP="00B62BD7">
      <w:pPr>
        <w:adjustRightInd w:val="0"/>
        <w:snapToGrid w:val="0"/>
        <w:spacing w:line="360" w:lineRule="auto"/>
        <w:jc w:val="left"/>
        <w:rPr>
          <w:rFonts w:ascii="宋体" w:hAnsi="宋体"/>
          <w:b/>
          <w:sz w:val="24"/>
        </w:rPr>
      </w:pPr>
      <w:r>
        <w:rPr>
          <w:rFonts w:ascii="宋体" w:hAnsi="宋体" w:hint="eastAsia"/>
          <w:b/>
          <w:sz w:val="24"/>
        </w:rPr>
        <w:t>三、其他需要说明的事项</w:t>
      </w:r>
    </w:p>
    <w:p w:rsidR="00B62BD7" w:rsidRDefault="00B62BD7" w:rsidP="00B62BD7">
      <w:pPr>
        <w:snapToGrid w:val="0"/>
        <w:spacing w:line="360" w:lineRule="auto"/>
        <w:ind w:left="361" w:hangingChars="150" w:hanging="361"/>
        <w:rPr>
          <w:rFonts w:ascii="宋体" w:hAnsi="宋体"/>
          <w:b/>
          <w:sz w:val="24"/>
        </w:rPr>
      </w:pPr>
      <w:r>
        <w:rPr>
          <w:rFonts w:ascii="宋体" w:hAnsi="宋体" w:hint="eastAsia"/>
          <w:b/>
          <w:sz w:val="24"/>
        </w:rPr>
        <w:t>1、 交货</w:t>
      </w:r>
    </w:p>
    <w:p w:rsidR="00B62BD7" w:rsidRDefault="00B62BD7" w:rsidP="00B62BD7">
      <w:pPr>
        <w:adjustRightInd w:val="0"/>
        <w:snapToGrid w:val="0"/>
        <w:spacing w:line="360" w:lineRule="auto"/>
        <w:rPr>
          <w:rFonts w:ascii="宋体" w:hAnsi="宋体"/>
          <w:sz w:val="24"/>
        </w:rPr>
      </w:pPr>
      <w:r>
        <w:rPr>
          <w:rFonts w:ascii="Arial" w:hAnsi="Arial" w:cs="Arial" w:hint="eastAsia"/>
          <w:sz w:val="24"/>
        </w:rPr>
        <w:t>1</w:t>
      </w:r>
      <w:r>
        <w:rPr>
          <w:rFonts w:ascii="Arial" w:hAnsi="Arial" w:cs="Arial" w:hint="eastAsia"/>
          <w:sz w:val="24"/>
        </w:rPr>
        <w:t>）</w:t>
      </w:r>
      <w:r>
        <w:rPr>
          <w:rFonts w:ascii="宋体" w:hAnsi="宋体" w:hint="eastAsia"/>
          <w:sz w:val="24"/>
        </w:rPr>
        <w:t>交货时间：</w:t>
      </w:r>
      <w:r>
        <w:rPr>
          <w:rFonts w:ascii="Arial" w:hAnsi="Arial" w:cs="Arial" w:hint="eastAsia"/>
          <w:sz w:val="24"/>
        </w:rPr>
        <w:t>合同签订</w:t>
      </w:r>
      <w:r>
        <w:rPr>
          <w:rFonts w:ascii="Arial" w:hAnsi="Arial" w:cs="Arial" w:hint="eastAsia"/>
          <w:sz w:val="24"/>
        </w:rPr>
        <w:t>15</w:t>
      </w:r>
      <w:r>
        <w:rPr>
          <w:rFonts w:ascii="Arial" w:hAnsi="Arial" w:cs="Arial" w:hint="eastAsia"/>
          <w:sz w:val="24"/>
        </w:rPr>
        <w:t>日内</w:t>
      </w:r>
      <w:r>
        <w:rPr>
          <w:rFonts w:ascii="宋体" w:hAnsi="宋体" w:hint="eastAsia"/>
          <w:sz w:val="24"/>
        </w:rPr>
        <w:t>完成交货。</w:t>
      </w:r>
    </w:p>
    <w:p w:rsidR="00B62BD7" w:rsidRDefault="00B62BD7" w:rsidP="00B62BD7">
      <w:pPr>
        <w:adjustRightInd w:val="0"/>
        <w:snapToGrid w:val="0"/>
        <w:spacing w:line="360" w:lineRule="auto"/>
        <w:rPr>
          <w:rFonts w:ascii="宋体" w:hAnsi="宋体"/>
          <w:sz w:val="24"/>
        </w:rPr>
      </w:pPr>
      <w:r>
        <w:rPr>
          <w:rFonts w:ascii="Arial" w:hAnsi="Arial" w:cs="Arial" w:hint="eastAsia"/>
          <w:sz w:val="24"/>
        </w:rPr>
        <w:t>2</w:t>
      </w:r>
      <w:r>
        <w:rPr>
          <w:rFonts w:ascii="Arial" w:hAnsi="Arial" w:cs="Arial" w:hint="eastAsia"/>
          <w:sz w:val="24"/>
        </w:rPr>
        <w:t>）</w:t>
      </w:r>
      <w:r>
        <w:rPr>
          <w:rFonts w:ascii="宋体" w:hAnsi="宋体" w:hint="eastAsia"/>
          <w:sz w:val="24"/>
        </w:rPr>
        <w:t xml:space="preserve">交货地点：采购单位指定地点 </w:t>
      </w:r>
    </w:p>
    <w:p w:rsidR="00B62BD7" w:rsidRDefault="00B62BD7" w:rsidP="00B62BD7">
      <w:pPr>
        <w:adjustRightInd w:val="0"/>
        <w:snapToGrid w:val="0"/>
        <w:spacing w:line="360" w:lineRule="auto"/>
        <w:rPr>
          <w:rFonts w:ascii="宋体" w:hAnsi="宋体"/>
          <w:sz w:val="24"/>
        </w:rPr>
      </w:pPr>
      <w:r>
        <w:rPr>
          <w:rFonts w:ascii="Arial" w:hAnsi="Arial" w:cs="Arial" w:hint="eastAsia"/>
          <w:sz w:val="24"/>
        </w:rPr>
        <w:t>3</w:t>
      </w:r>
      <w:r>
        <w:rPr>
          <w:rFonts w:ascii="Arial" w:hAnsi="Arial" w:cs="Arial" w:hint="eastAsia"/>
          <w:sz w:val="24"/>
        </w:rPr>
        <w:t>）</w:t>
      </w:r>
      <w:r>
        <w:rPr>
          <w:rFonts w:ascii="宋体" w:hAnsi="宋体" w:hint="eastAsia"/>
          <w:sz w:val="24"/>
        </w:rPr>
        <w:t>交货方式： 采购单位指定</w:t>
      </w:r>
    </w:p>
    <w:p w:rsidR="00B62BD7" w:rsidRDefault="00B62BD7" w:rsidP="00B62BD7">
      <w:pPr>
        <w:snapToGrid w:val="0"/>
        <w:spacing w:line="360" w:lineRule="auto"/>
        <w:ind w:left="361" w:hangingChars="150" w:hanging="361"/>
        <w:rPr>
          <w:rFonts w:ascii="宋体" w:hAnsi="宋体"/>
          <w:b/>
          <w:sz w:val="24"/>
        </w:rPr>
      </w:pPr>
      <w:r>
        <w:rPr>
          <w:rFonts w:ascii="宋体" w:hAnsi="宋体" w:hint="eastAsia"/>
          <w:b/>
          <w:sz w:val="24"/>
        </w:rPr>
        <w:t>2、</w:t>
      </w:r>
      <w:r>
        <w:rPr>
          <w:rFonts w:ascii="宋体" w:hAnsi="宋体" w:hint="eastAsia"/>
          <w:b/>
          <w:sz w:val="24"/>
        </w:rPr>
        <w:tab/>
        <w:t>结算方法</w:t>
      </w:r>
    </w:p>
    <w:p w:rsidR="00B62BD7" w:rsidRDefault="00B62BD7" w:rsidP="00B62BD7">
      <w:pPr>
        <w:adjustRightInd w:val="0"/>
        <w:snapToGrid w:val="0"/>
        <w:spacing w:beforeLines="50" w:before="156" w:line="360" w:lineRule="auto"/>
        <w:rPr>
          <w:rFonts w:ascii="宋体" w:hAnsi="宋体"/>
          <w:sz w:val="24"/>
        </w:rPr>
      </w:pPr>
      <w:r>
        <w:rPr>
          <w:rFonts w:ascii="Arial" w:hAnsi="Arial" w:cs="Arial" w:hint="eastAsia"/>
          <w:sz w:val="24"/>
        </w:rPr>
        <w:t>1</w:t>
      </w:r>
      <w:r>
        <w:rPr>
          <w:rFonts w:ascii="Arial" w:hAnsi="Arial" w:cs="Arial" w:hint="eastAsia"/>
          <w:sz w:val="24"/>
        </w:rPr>
        <w:t>）</w:t>
      </w:r>
      <w:r>
        <w:rPr>
          <w:rFonts w:ascii="宋体" w:hAnsi="宋体" w:hint="eastAsia"/>
          <w:sz w:val="24"/>
        </w:rPr>
        <w:t>付款人：湖南生物机电职业技术学院</w:t>
      </w:r>
    </w:p>
    <w:p w:rsidR="00B62BD7" w:rsidRDefault="00B62BD7" w:rsidP="00B62BD7">
      <w:pPr>
        <w:spacing w:line="360" w:lineRule="auto"/>
        <w:textAlignment w:val="center"/>
        <w:rPr>
          <w:rFonts w:ascii="宋体" w:hAnsi="宋体"/>
          <w:sz w:val="24"/>
        </w:rPr>
      </w:pPr>
      <w:r>
        <w:rPr>
          <w:rFonts w:ascii="Arial" w:hAnsi="Arial" w:cs="Arial" w:hint="eastAsia"/>
          <w:sz w:val="24"/>
        </w:rPr>
        <w:lastRenderedPageBreak/>
        <w:t>2</w:t>
      </w:r>
      <w:r>
        <w:rPr>
          <w:rFonts w:ascii="Arial" w:hAnsi="Arial" w:cs="Arial" w:hint="eastAsia"/>
          <w:sz w:val="24"/>
        </w:rPr>
        <w:t>）</w:t>
      </w:r>
      <w:r>
        <w:rPr>
          <w:rFonts w:ascii="宋体" w:hAnsi="宋体" w:hint="eastAsia"/>
          <w:sz w:val="24"/>
        </w:rPr>
        <w:t>付款方式：合同签订，安装调试验收合格后付款95%，设备正常运行一年后（无质量、售后及其他经济法律纠纷等问题）无息付款5%。</w:t>
      </w:r>
    </w:p>
    <w:p w:rsidR="00B62BD7" w:rsidRDefault="00B62BD7" w:rsidP="00B62BD7">
      <w:pPr>
        <w:spacing w:line="360" w:lineRule="auto"/>
        <w:rPr>
          <w:rFonts w:ascii="宋体" w:hAnsi="宋体"/>
          <w:b/>
          <w:sz w:val="24"/>
        </w:rPr>
      </w:pPr>
      <w:r>
        <w:rPr>
          <w:rFonts w:ascii="宋体" w:hAnsi="宋体" w:hint="eastAsia"/>
          <w:b/>
          <w:sz w:val="24"/>
        </w:rPr>
        <w:t>3、解决争议的方式</w:t>
      </w:r>
    </w:p>
    <w:p w:rsidR="00B62BD7" w:rsidRDefault="00B62BD7" w:rsidP="00B62BD7">
      <w:pPr>
        <w:spacing w:line="360" w:lineRule="auto"/>
        <w:rPr>
          <w:rFonts w:ascii="宋体" w:hAnsi="宋体"/>
          <w:sz w:val="24"/>
        </w:rPr>
      </w:pPr>
      <w:r>
        <w:rPr>
          <w:rFonts w:ascii="宋体" w:hAnsi="宋体" w:hint="eastAsia"/>
          <w:sz w:val="24"/>
        </w:rPr>
        <w:t>解决争议的方式：仲裁</w:t>
      </w:r>
    </w:p>
    <w:p w:rsidR="00B62BD7" w:rsidRDefault="00B62BD7" w:rsidP="00B62BD7">
      <w:pPr>
        <w:spacing w:line="360" w:lineRule="auto"/>
        <w:rPr>
          <w:b/>
          <w:sz w:val="24"/>
        </w:rPr>
      </w:pPr>
      <w:r w:rsidRPr="00B62BD7">
        <w:rPr>
          <w:rFonts w:ascii="宋体" w:hAnsi="宋体" w:hint="eastAsia"/>
          <w:b/>
          <w:sz w:val="24"/>
        </w:rPr>
        <w:t>4、</w:t>
      </w:r>
      <w:r>
        <w:rPr>
          <w:rFonts w:ascii="宋体" w:hAnsi="宋体" w:hint="eastAsia"/>
          <w:sz w:val="24"/>
        </w:rPr>
        <w:t>投标人在投标前，自行踏勘现场，有关费用自理，踏勘期间发生的意外自负。</w:t>
      </w:r>
    </w:p>
    <w:p w:rsidR="00B62BD7" w:rsidRPr="006517F1" w:rsidRDefault="00B62BD7" w:rsidP="00B62BD7"/>
    <w:p w:rsidR="000A7037" w:rsidRPr="00B62BD7" w:rsidRDefault="000A7037"/>
    <w:sectPr w:rsidR="000A7037" w:rsidRPr="00B62BD7" w:rsidSect="0030434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B6" w:rsidRDefault="00A867B6" w:rsidP="00B62BD7">
      <w:r>
        <w:separator/>
      </w:r>
    </w:p>
  </w:endnote>
  <w:endnote w:type="continuationSeparator" w:id="0">
    <w:p w:rsidR="00A867B6" w:rsidRDefault="00A867B6" w:rsidP="00B6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B6" w:rsidRDefault="00A867B6" w:rsidP="00B62BD7">
      <w:r>
        <w:separator/>
      </w:r>
    </w:p>
  </w:footnote>
  <w:footnote w:type="continuationSeparator" w:id="0">
    <w:p w:rsidR="00A867B6" w:rsidRDefault="00A867B6" w:rsidP="00B62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8F86"/>
    <w:multiLevelType w:val="singleLevel"/>
    <w:tmpl w:val="23428F86"/>
    <w:lvl w:ilvl="0">
      <w:start w:val="1"/>
      <w:numFmt w:val="decimal"/>
      <w:suff w:val="nothing"/>
      <w:lvlText w:val="%1）"/>
      <w:lvlJc w:val="left"/>
    </w:lvl>
  </w:abstractNum>
  <w:abstractNum w:abstractNumId="1">
    <w:nsid w:val="27193070"/>
    <w:multiLevelType w:val="hybridMultilevel"/>
    <w:tmpl w:val="19D2D508"/>
    <w:lvl w:ilvl="0" w:tplc="9968B3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53"/>
    <w:rsid w:val="000A7037"/>
    <w:rsid w:val="002E7453"/>
    <w:rsid w:val="00A867B6"/>
    <w:rsid w:val="00B62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BD7"/>
    <w:rPr>
      <w:sz w:val="18"/>
      <w:szCs w:val="18"/>
    </w:rPr>
  </w:style>
  <w:style w:type="paragraph" w:styleId="a4">
    <w:name w:val="footer"/>
    <w:basedOn w:val="a"/>
    <w:link w:val="Char0"/>
    <w:uiPriority w:val="99"/>
    <w:unhideWhenUsed/>
    <w:rsid w:val="00B62BD7"/>
    <w:pPr>
      <w:tabs>
        <w:tab w:val="center" w:pos="4153"/>
        <w:tab w:val="right" w:pos="8306"/>
      </w:tabs>
      <w:snapToGrid w:val="0"/>
      <w:jc w:val="left"/>
    </w:pPr>
    <w:rPr>
      <w:sz w:val="18"/>
      <w:szCs w:val="18"/>
    </w:rPr>
  </w:style>
  <w:style w:type="character" w:customStyle="1" w:styleId="Char0">
    <w:name w:val="页脚 Char"/>
    <w:basedOn w:val="a0"/>
    <w:link w:val="a4"/>
    <w:uiPriority w:val="99"/>
    <w:rsid w:val="00B62BD7"/>
    <w:rPr>
      <w:sz w:val="18"/>
      <w:szCs w:val="18"/>
    </w:rPr>
  </w:style>
  <w:style w:type="character" w:customStyle="1" w:styleId="Char1">
    <w:name w:val="列出段落 Char"/>
    <w:link w:val="a5"/>
    <w:uiPriority w:val="34"/>
    <w:qFormat/>
    <w:rsid w:val="00B62BD7"/>
    <w:rPr>
      <w:rFonts w:ascii="Times New Roman" w:eastAsia="宋体" w:hAnsi="Times New Roman"/>
      <w:sz w:val="24"/>
      <w:szCs w:val="20"/>
    </w:rPr>
  </w:style>
  <w:style w:type="paragraph" w:styleId="a5">
    <w:name w:val="List Paragraph"/>
    <w:basedOn w:val="a"/>
    <w:link w:val="Char1"/>
    <w:uiPriority w:val="34"/>
    <w:qFormat/>
    <w:rsid w:val="00B62BD7"/>
    <w:pPr>
      <w:spacing w:line="360" w:lineRule="auto"/>
      <w:ind w:firstLineChars="200" w:firstLine="420"/>
    </w:pPr>
    <w:rPr>
      <w:rFonts w:ascii="Times New Roman" w:eastAsia="宋体" w:hAnsi="Times New Roman"/>
      <w:sz w:val="24"/>
      <w:szCs w:val="20"/>
    </w:rPr>
  </w:style>
  <w:style w:type="table" w:styleId="a6">
    <w:name w:val="Table Grid"/>
    <w:basedOn w:val="a1"/>
    <w:uiPriority w:val="59"/>
    <w:rsid w:val="00B62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BD7"/>
    <w:rPr>
      <w:sz w:val="18"/>
      <w:szCs w:val="18"/>
    </w:rPr>
  </w:style>
  <w:style w:type="paragraph" w:styleId="a4">
    <w:name w:val="footer"/>
    <w:basedOn w:val="a"/>
    <w:link w:val="Char0"/>
    <w:uiPriority w:val="99"/>
    <w:unhideWhenUsed/>
    <w:rsid w:val="00B62BD7"/>
    <w:pPr>
      <w:tabs>
        <w:tab w:val="center" w:pos="4153"/>
        <w:tab w:val="right" w:pos="8306"/>
      </w:tabs>
      <w:snapToGrid w:val="0"/>
      <w:jc w:val="left"/>
    </w:pPr>
    <w:rPr>
      <w:sz w:val="18"/>
      <w:szCs w:val="18"/>
    </w:rPr>
  </w:style>
  <w:style w:type="character" w:customStyle="1" w:styleId="Char0">
    <w:name w:val="页脚 Char"/>
    <w:basedOn w:val="a0"/>
    <w:link w:val="a4"/>
    <w:uiPriority w:val="99"/>
    <w:rsid w:val="00B62BD7"/>
    <w:rPr>
      <w:sz w:val="18"/>
      <w:szCs w:val="18"/>
    </w:rPr>
  </w:style>
  <w:style w:type="character" w:customStyle="1" w:styleId="Char1">
    <w:name w:val="列出段落 Char"/>
    <w:link w:val="a5"/>
    <w:uiPriority w:val="34"/>
    <w:qFormat/>
    <w:rsid w:val="00B62BD7"/>
    <w:rPr>
      <w:rFonts w:ascii="Times New Roman" w:eastAsia="宋体" w:hAnsi="Times New Roman"/>
      <w:sz w:val="24"/>
      <w:szCs w:val="20"/>
    </w:rPr>
  </w:style>
  <w:style w:type="paragraph" w:styleId="a5">
    <w:name w:val="List Paragraph"/>
    <w:basedOn w:val="a"/>
    <w:link w:val="Char1"/>
    <w:uiPriority w:val="34"/>
    <w:qFormat/>
    <w:rsid w:val="00B62BD7"/>
    <w:pPr>
      <w:spacing w:line="360" w:lineRule="auto"/>
      <w:ind w:firstLineChars="200" w:firstLine="420"/>
    </w:pPr>
    <w:rPr>
      <w:rFonts w:ascii="Times New Roman" w:eastAsia="宋体" w:hAnsi="Times New Roman"/>
      <w:sz w:val="24"/>
      <w:szCs w:val="20"/>
    </w:rPr>
  </w:style>
  <w:style w:type="table" w:styleId="a6">
    <w:name w:val="Table Grid"/>
    <w:basedOn w:val="a1"/>
    <w:uiPriority w:val="59"/>
    <w:rsid w:val="00B62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250</Words>
  <Characters>1430</Characters>
  <Application>Microsoft Office Word</Application>
  <DocSecurity>0</DocSecurity>
  <Lines>11</Lines>
  <Paragraphs>3</Paragraphs>
  <ScaleCrop>false</ScaleCrop>
  <Company>Sky123.Org</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周功</dc:creator>
  <cp:keywords/>
  <dc:description/>
  <cp:lastModifiedBy>周功</cp:lastModifiedBy>
  <cp:revision>2</cp:revision>
  <dcterms:created xsi:type="dcterms:W3CDTF">2021-03-29T07:37:00Z</dcterms:created>
  <dcterms:modified xsi:type="dcterms:W3CDTF">2021-03-29T07:40:00Z</dcterms:modified>
</cp:coreProperties>
</file>