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-1</w:t>
      </w:r>
    </w:p>
    <w:p>
      <w:pPr>
        <w:widowControl/>
        <w:spacing w:after="120" w:afterLines="50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8"/>
          <w:szCs w:val="38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  <w:t>年</w:t>
      </w:r>
      <w:r>
        <w:rPr>
          <w:rFonts w:hint="eastAsia" w:eastAsia="方正小标宋_GBK" w:cs="Times New Roman"/>
          <w:color w:val="000000"/>
          <w:kern w:val="0"/>
          <w:sz w:val="38"/>
          <w:szCs w:val="38"/>
          <w:lang w:val="en-US" w:eastAsia="zh-CN"/>
        </w:rPr>
        <w:t>学院</w:t>
      </w:r>
      <w:r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  <w:t>新增资产申报表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321" w:afterLines="50" w:line="50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kern w:val="0"/>
          <w:sz w:val="22"/>
          <w:szCs w:val="22"/>
          <w:lang w:val="en-US" w:eastAsia="zh-CN"/>
        </w:rPr>
        <w:t>资产管理处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（公章）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>部门负责人签字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：</w:t>
      </w:r>
    </w:p>
    <w:tbl>
      <w:tblPr>
        <w:tblStyle w:val="6"/>
        <w:tblW w:w="138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47"/>
        <w:gridCol w:w="1148"/>
        <w:gridCol w:w="864"/>
        <w:gridCol w:w="864"/>
        <w:gridCol w:w="1149"/>
        <w:gridCol w:w="1226"/>
        <w:gridCol w:w="1148"/>
        <w:gridCol w:w="1148"/>
        <w:gridCol w:w="1148"/>
        <w:gridCol w:w="1148"/>
        <w:gridCol w:w="864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新增资产名称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预算项目代码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预算项目名称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资产分类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新增数量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申报资金（万元）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支出功能科目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部门经济分类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政府经济分类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政府采购品目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配置依据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8"/>
          <w:szCs w:val="38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  <w:t>年</w:t>
      </w:r>
      <w:r>
        <w:rPr>
          <w:rFonts w:hint="eastAsia" w:eastAsia="方正小标宋_GBK" w:cs="Times New Roman"/>
          <w:color w:val="000000"/>
          <w:kern w:val="0"/>
          <w:sz w:val="38"/>
          <w:szCs w:val="38"/>
          <w:lang w:val="en-US" w:eastAsia="zh-CN"/>
        </w:rPr>
        <w:t>学院</w:t>
      </w:r>
      <w:r>
        <w:rPr>
          <w:rFonts w:ascii="Times New Roman" w:hAnsi="Times New Roman" w:eastAsia="方正小标宋_GBK" w:cs="Times New Roman"/>
          <w:color w:val="000000"/>
          <w:kern w:val="0"/>
          <w:sz w:val="38"/>
          <w:szCs w:val="38"/>
        </w:rPr>
        <w:t>新增资产汇总表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after="321" w:afterLines="50" w:line="500" w:lineRule="exact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hint="eastAsia" w:eastAsia="仿宋_GB2312" w:cs="Times New Roman"/>
          <w:color w:val="000000"/>
          <w:kern w:val="0"/>
          <w:sz w:val="22"/>
          <w:szCs w:val="22"/>
          <w:lang w:val="en-US" w:eastAsia="zh-CN"/>
        </w:rPr>
        <w:t>资产管理处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 xml:space="preserve">（公章）：               </w:t>
      </w:r>
      <w:r>
        <w:rPr>
          <w:rFonts w:hint="eastAsia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                部门负责人签字：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 xml:space="preserve">                                                  单位：万元</w:t>
      </w:r>
    </w:p>
    <w:tbl>
      <w:tblPr>
        <w:tblStyle w:val="6"/>
        <w:tblW w:w="14357" w:type="dxa"/>
        <w:tblInd w:w="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22"/>
        <w:gridCol w:w="699"/>
        <w:gridCol w:w="1672"/>
        <w:gridCol w:w="1303"/>
        <w:gridCol w:w="1333"/>
        <w:gridCol w:w="1372"/>
        <w:gridCol w:w="1089"/>
        <w:gridCol w:w="944"/>
        <w:gridCol w:w="885"/>
        <w:gridCol w:w="934"/>
        <w:gridCol w:w="1218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4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新增资产配置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房屋及构筑物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其他资产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构筑物</w:t>
            </w:r>
          </w:p>
        </w:tc>
        <w:tc>
          <w:tcPr>
            <w:tcW w:w="2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-178" w:leftChars="-85" w:firstLine="800"/>
        <w:jc w:val="both"/>
        <w:rPr>
          <w:rFonts w:ascii="Times New Roman" w:hAnsi="Times New Roman" w:eastAsia="Times New Roman" w:cs="Times New Roman"/>
          <w:sz w:val="40"/>
          <w:szCs w:val="40"/>
        </w:rPr>
      </w:pPr>
    </w:p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-178" w:leftChars="-85" w:firstLine="800"/>
        <w:jc w:val="both"/>
        <w:rPr>
          <w:rFonts w:ascii="Times New Roman" w:hAnsi="Times New Roman" w:eastAsia="Times New Roman" w:cs="Times New Roman"/>
          <w:sz w:val="40"/>
          <w:szCs w:val="40"/>
        </w:rPr>
        <w:sectPr>
          <w:headerReference r:id="rId3" w:type="default"/>
          <w:footerReference r:id="rId4" w:type="default"/>
          <w:footerReference r:id="rId5" w:type="even"/>
          <w:pgSz w:w="16837" w:h="11905" w:orient="landscape"/>
          <w:pgMar w:top="1134" w:right="1134" w:bottom="1134" w:left="1134" w:header="624" w:footer="1134" w:gutter="0"/>
          <w:pgNumType w:fmt="numberInDash"/>
          <w:cols w:space="720" w:num="1"/>
          <w:docGrid w:linePitch="636" w:charSpace="20838"/>
        </w:sectPr>
      </w:pPr>
    </w:p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after="321" w:afterLines="50"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kern w:val="0"/>
          <w:sz w:val="38"/>
          <w:szCs w:val="38"/>
          <w:lang w:eastAsia="zh-CN"/>
        </w:rPr>
      </w:pPr>
      <w:r>
        <w:rPr>
          <w:rFonts w:hint="eastAsia" w:eastAsia="方正小标宋_GBK" w:cs="Times New Roman"/>
          <w:color w:val="000000"/>
          <w:kern w:val="0"/>
          <w:sz w:val="38"/>
          <w:szCs w:val="38"/>
          <w:lang w:val="en-US" w:eastAsia="zh-CN"/>
        </w:rPr>
        <w:t>学院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8"/>
          <w:szCs w:val="38"/>
          <w:lang w:eastAsia="zh-CN"/>
        </w:rPr>
        <w:t>存量资产表</w:t>
      </w:r>
    </w:p>
    <w:p>
      <w:pPr>
        <w:pStyle w:val="2"/>
        <w:jc w:val="both"/>
        <w:rPr>
          <w:rFonts w:hint="default" w:ascii="Times New Roman" w:hAnsi="Times New Roman"/>
          <w:lang w:eastAsia="zh-CN"/>
        </w:rPr>
      </w:pPr>
    </w:p>
    <w:tbl>
      <w:tblPr>
        <w:tblStyle w:val="6"/>
        <w:tblW w:w="508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688"/>
        <w:gridCol w:w="734"/>
        <w:gridCol w:w="690"/>
        <w:gridCol w:w="1703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218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期末账面数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原值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累计折旧/摊销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一、固定资产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（一）房屋和构筑物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（二）设备（个、台、辆等）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其中：1.车辆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（三）文物和陈列品（个、件等）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（四）图书和档案（本、套等）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（五）家具和用具（个、套等）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（六）特种动植物（只、个等）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二、无形资产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其中：土地使用权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其中：专利及信息数据等无形资产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20" w:beforeLines="50" w:line="500" w:lineRule="exact"/>
        <w:ind w:firstLine="420" w:firstLineChars="200"/>
        <w:jc w:val="both"/>
        <w:rPr>
          <w:rFonts w:ascii="Times New Roman" w:hAnsi="Times New Roman" w:eastAsia="仿宋_GB2312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21"/>
          <w:szCs w:val="21"/>
        </w:rPr>
        <w:t>备注：资产存量情况的统计截止时间为20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21"/>
          <w:szCs w:val="21"/>
        </w:rPr>
        <w:t>年6月30日。</w:t>
      </w:r>
    </w:p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ascii="Times New Roman" w:hAnsi="Times New Roman" w:eastAsia="黑体" w:cs="Times New Roman"/>
          <w:bCs/>
          <w:kern w:val="0"/>
          <w:sz w:val="21"/>
          <w:szCs w:val="21"/>
        </w:rPr>
        <w:sectPr>
          <w:headerReference r:id="rId6" w:type="default"/>
          <w:footerReference r:id="rId7" w:type="default"/>
          <w:pgSz w:w="11905" w:h="16837"/>
          <w:pgMar w:top="1417" w:right="1588" w:bottom="1417" w:left="1588" w:header="624" w:footer="1304" w:gutter="0"/>
          <w:pgNumType w:fmt="numberInDash"/>
          <w:cols w:space="720" w:num="1"/>
          <w:rtlGutter w:val="0"/>
          <w:docGrid w:linePitch="636" w:charSpace="0"/>
        </w:sectPr>
      </w:pPr>
    </w:p>
    <w:p>
      <w:pPr>
        <w:keepNext w:val="0"/>
        <w:keepLines w:val="0"/>
        <w:pageBreakBefore w:val="0"/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kinsoku/>
        <w:wordWrap/>
        <w:overflowPunct/>
        <w:topLinePunct w:val="0"/>
        <w:autoSpaceDE/>
        <w:autoSpaceDN/>
        <w:bidi w:val="0"/>
        <w:spacing w:afterLines="0" w:line="600" w:lineRule="exact"/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附件4-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0" w:line="600" w:lineRule="exact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0" w:line="600" w:lineRule="exact"/>
        <w:jc w:val="center"/>
        <w:textAlignment w:val="auto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4</w:t>
      </w:r>
      <w:r>
        <w:rPr>
          <w:rFonts w:ascii="Times New Roman" w:hAnsi="Times New Roman" w:eastAsia="方正小标宋_GBK" w:cs="Times New Roman"/>
          <w:sz w:val="40"/>
          <w:szCs w:val="40"/>
        </w:rPr>
        <w:t>年省直行政事业单位新增资产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0" w:line="600" w:lineRule="exact"/>
        <w:jc w:val="center"/>
        <w:textAlignment w:val="auto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申报表编报说明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0" w:line="60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1、新增资产名称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是指拟新增房屋或构筑物、土地使用权、车辆等资产的名称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预算项目代码、预算项目名称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从项目库系统获取。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资产分类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：按照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《固定资产等资产基础分类与代码》（GB/T 14885-2022）进行填写；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计量单位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根据《固定资产等资产基础分类与代码》（GB/T 14885-2022）自动生成；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新增数量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与计量单位进行匹配，其中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房屋、土地使用权按平方米计量，车辆按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进行计量；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申报资金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是指拟新增资产所需资金；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政府采购品目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按《政府采购品目分类目录》进行选择填写。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eastAsia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、配置依据：是指符合《湖南省省直行政事业单位国有资产配置管理办法》第六条规定的有关条件的相关佐证资料等。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  <w:t>配置标准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通用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  <w:t>办公设备和办公家具依据《湖南省财政厅关于印发&lt;湖南省省级行政事业单位通用办公设备和办公家具配置限额标准&gt;的通知》（湘财资〔2020〕15号）进行配置；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公务用车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  <w:t>依据《中共湖南省委办公厅湖南省人民政府办公厅关于印发&lt;湖南省党政机关办公用房管理实施办法&gt;&lt;湖南省党政机关公务用车管理实施办法&gt;的通知》（湘办发〔2019〕13号）进行配置；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</w:rPr>
        <w:t>法院、检察院专用设备按照《湖南省人民法院办案专用设备管理暂行办法》、《湖南省检察机关办案专用设备配置管理暂行办法》进行配置。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</w:rPr>
        <w:t>如有其他需说明事项，请在备注栏填列。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省直行政事业单位存量资产表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》数据来源为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湖南省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预算管理一体化系统资产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板块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相关资产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在账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（截止时间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年6月30日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OGJjMGI3MTliMTUyNTU4YjJhMmZlODM4ZmM5YTcifQ=="/>
  </w:docVars>
  <w:rsids>
    <w:rsidRoot w:val="00000000"/>
    <w:rsid w:val="11AB1542"/>
    <w:rsid w:val="1C912D23"/>
    <w:rsid w:val="41880F9A"/>
    <w:rsid w:val="53771318"/>
    <w:rsid w:val="60DE3B0C"/>
    <w:rsid w:val="6FD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1862</Words>
  <Characters>1901</Characters>
  <Lines>0</Lines>
  <Paragraphs>0</Paragraphs>
  <TotalTime>4</TotalTime>
  <ScaleCrop>false</ScaleCrop>
  <LinksUpToDate>false</LinksUpToDate>
  <CharactersWithSpaces>2173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2019-09-10T02:08:00Z</dcterms:created>
  <dc:creator>Administrator</dc:creator>
  <cp:lastModifiedBy>海波</cp:lastModifiedBy>
  <cp:lastPrinted>2019-09-29T02:13:00Z</cp:lastPrinted>
  <dcterms:modified xsi:type="dcterms:W3CDTF">2023-10-07T08:26:09Z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755AA0439F47477DB9BDF80609A735D2</vt:lpwstr>
  </property>
</Properties>
</file>