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bCs/>
          <w:color w:val="auto"/>
          <w:sz w:val="31"/>
          <w:szCs w:val="31"/>
          <w:lang w:val="en-US" w:eastAsia="zh-CN"/>
        </w:rPr>
        <w:t>2024年校级科研项目申报指南</w:t>
      </w:r>
    </w:p>
    <w:bookmarkEnd w:id="0"/>
    <w:p>
      <w:pPr>
        <w:ind w:firstLine="620" w:firstLineChars="200"/>
        <w:jc w:val="left"/>
        <w:rPr>
          <w:rFonts w:hint="eastAsia" w:ascii="仿宋_GB2312" w:hAnsi="Times New Roman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1"/>
          <w:szCs w:val="31"/>
          <w:lang w:val="en-US" w:eastAsia="zh-CN"/>
        </w:rPr>
        <w:t>针对我校“双高计划”重点专业群建设中的核心问题和实际需求，2024年度拟发布8个重点选题，旨在通过深入研究和实践，产生一批高质量、对“双高计划”建设具有显著推动作用的理论与实践成果。</w:t>
      </w:r>
    </w:p>
    <w:p>
      <w:pPr>
        <w:ind w:firstLine="622" w:firstLineChars="200"/>
        <w:jc w:val="left"/>
        <w:rPr>
          <w:rFonts w:hint="eastAsia" w:ascii="仿宋_GB2312" w:hAnsi="Times New Roman" w:eastAsia="仿宋_GB2312" w:cs="仿宋_GB2312"/>
          <w:b/>
          <w:bCs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sz w:val="31"/>
          <w:szCs w:val="31"/>
          <w:lang w:val="en-US" w:eastAsia="zh-CN"/>
        </w:rPr>
        <w:t>（一）重大攻关项目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default" w:ascii="仿宋" w:hAnsi="仿宋" w:eastAsia="仿宋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/>
        </w:rPr>
        <w:t>1.刺葡萄养分需求规律研究；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default" w:ascii="仿宋" w:hAnsi="仿宋" w:eastAsia="仿宋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/>
        </w:rPr>
        <w:t>2.间作大豆活化根际磷调控玉米镉吸收转运的机制；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default" w:ascii="仿宋" w:hAnsi="仿宋" w:eastAsia="仿宋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/>
        </w:rPr>
        <w:t>3.槟榔提取物通过NF-κB信号通路减轻大肠杆菌诱导的黄羽肉鸡肠道炎症反应的研究；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default" w:ascii="仿宋" w:hAnsi="仿宋" w:eastAsia="仿宋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/>
        </w:rPr>
        <w:t>4.再生稻营养特性及高效施用技术研究；</w:t>
      </w:r>
    </w:p>
    <w:p>
      <w:pPr>
        <w:ind w:firstLine="602" w:firstLineChars="200"/>
        <w:jc w:val="left"/>
        <w:rPr>
          <w:rFonts w:hint="eastAsia" w:ascii="仿宋_GB2312" w:hAnsi="Times New Roman" w:eastAsia="仿宋_GB2312" w:cs="仿宋_GB2312"/>
          <w:b/>
          <w:bCs/>
          <w:color w:val="auto"/>
          <w:sz w:val="31"/>
          <w:szCs w:val="31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0"/>
          <w:szCs w:val="30"/>
          <w:lang w:val="en-US" w:eastAsia="zh-CN"/>
        </w:rPr>
        <w:t>（二）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1"/>
          <w:szCs w:val="31"/>
          <w:lang w:val="en-US" w:eastAsia="zh-CN"/>
        </w:rPr>
        <w:t>藤本植物综合利用工程技术研究中心专项</w:t>
      </w:r>
    </w:p>
    <w:p>
      <w:pPr>
        <w:ind w:firstLine="600" w:firstLineChars="200"/>
        <w:jc w:val="left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5.药食同源生态修复藤本植物功能成分及作用研究（基础研究类）。结题要求：研究期限为两年，发表SCI /EI论文和授权专利；</w:t>
      </w:r>
    </w:p>
    <w:p>
      <w:pPr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6.用于园林绿化、固土护坡、石漠化治理的优势藤本植物生理生态研究（基础研究类）。结题要求：研究期限为两年，发表SCI /EI论文和授权专利；</w:t>
      </w:r>
    </w:p>
    <w:p>
      <w:pPr>
        <w:ind w:firstLine="600" w:firstLineChars="200"/>
        <w:jc w:val="left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7.用于垂直绿化、固土护坡、石漠化治理等方面藤本植物轻简、快速应用技术研究及推广（如无人机喷播技术）（应用技术研究及推广类）。结题要求：研究期限为两年，发布行业规程/生产标准和授权专利；</w:t>
      </w:r>
    </w:p>
    <w:p>
      <w:pPr>
        <w:ind w:firstLine="600" w:firstLineChars="200"/>
        <w:jc w:val="left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8.用于垂直绿化、固土护坡、石漠化治理等方面藤本植物轻简、快速应用技术研究及推广（如大型轻量化藤毯生产及施工技术）（应用技术研究及推广类）。结题要求：研究期限为两年，发布行业规程/生产标准和授权专利；</w:t>
      </w:r>
    </w:p>
    <w:p>
      <w:pPr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9.适宜石漠化荒地、陡坡种植、城市垂直绿化的藤本植物新型种苗生产方法研究（应用技术研究及推广类）。结题要求：研究期限为两年，发布行业规程/生产标准和授权专利。</w:t>
      </w:r>
    </w:p>
    <w:p>
      <w:pPr>
        <w:ind w:firstLine="620" w:firstLineChars="200"/>
        <w:jc w:val="left"/>
        <w:rPr>
          <w:rFonts w:hint="default" w:ascii="仿宋_GB2312" w:hAnsi="Times New Roman" w:eastAsia="仿宋_GB2312" w:cs="仿宋_GB2312"/>
          <w:color w:val="0000FF"/>
          <w:sz w:val="31"/>
          <w:szCs w:val="31"/>
          <w:lang w:val="en-US" w:eastAsia="zh-CN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TgzMmI4YjU4NjQwZmM2YjE2Mzk0NzliMWRjOTYifQ=="/>
  </w:docVars>
  <w:rsids>
    <w:rsidRoot w:val="3B89454E"/>
    <w:rsid w:val="08A003F2"/>
    <w:rsid w:val="0FBB2E20"/>
    <w:rsid w:val="1C5A72D1"/>
    <w:rsid w:val="1D0D4F44"/>
    <w:rsid w:val="1F1C677C"/>
    <w:rsid w:val="1F911778"/>
    <w:rsid w:val="20552034"/>
    <w:rsid w:val="30D763F6"/>
    <w:rsid w:val="3B89454E"/>
    <w:rsid w:val="3C21291C"/>
    <w:rsid w:val="57164386"/>
    <w:rsid w:val="5C3D59F0"/>
    <w:rsid w:val="5CAE4799"/>
    <w:rsid w:val="642F6714"/>
    <w:rsid w:val="67713464"/>
    <w:rsid w:val="6B2E19B8"/>
    <w:rsid w:val="6F924BF1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2024-07-01T10:48:00Z</dcterms:created>
  <dc:creator>张丽云</dc:creator>
  <cp:lastModifiedBy>张丽云</cp:lastModifiedBy>
  <dcterms:modified xsi:type="dcterms:W3CDTF">2024-07-01T10:49:06Z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C25FC4AA83D3465395DB733AA4AC75D8_11</vt:lpwstr>
  </property>
</Properties>
</file>