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85DA">
      <w:pPr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  <w:t>附件1</w:t>
      </w:r>
    </w:p>
    <w:p w14:paraId="2DB8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6"/>
          <w:szCs w:val="36"/>
          <w:lang w:val="en-US" w:eastAsia="zh-CN"/>
        </w:rPr>
        <w:t>年</w:t>
      </w:r>
      <w:r>
        <w:rPr>
          <w:rFonts w:hint="eastAsia" w:asci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度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6"/>
          <w:szCs w:val="36"/>
          <w:lang w:val="en-US" w:eastAsia="zh-CN"/>
        </w:rPr>
        <w:t>校级科研项目申报指南</w:t>
      </w:r>
    </w:p>
    <w:bookmarkEnd w:id="0"/>
    <w:p w14:paraId="4F18AFC7">
      <w:pPr>
        <w:ind w:firstLine="620" w:firstLineChars="200"/>
        <w:jc w:val="left"/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针对我校新一轮“双高计划”重点专业群建设中的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建设</w:t>
      </w: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问题和学校发展实际需求，结合教育部职业教育发展中心印发的《职业教育教科研工作三年行动计划》（教职中心〔2025〕</w:t>
      </w:r>
      <w:r>
        <w:rPr>
          <w:rFonts w:hint="default" w:ascii="仿宋_GB2312" w:hAnsi="Times New Roman" w:eastAsia="仿宋_GB2312" w:cs="仿宋_GB2312"/>
          <w:color w:val="auto"/>
          <w:sz w:val="31"/>
          <w:szCs w:val="31"/>
          <w:lang w:val="en-US" w:eastAsia="zh-CN"/>
        </w:rPr>
        <w:t>17</w:t>
      </w: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号）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202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年度拟发布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以下项目申报指南，申报者需结合指南进行申报，题目自拟</w:t>
      </w:r>
      <w:r>
        <w:rPr>
          <w:rFonts w:hint="eastAsia" w:ascii="仿宋_GB2312" w:hAnsi="Times New Roman" w:eastAsia="仿宋_GB2312" w:cs="仿宋_GB2312"/>
          <w:color w:val="auto"/>
          <w:sz w:val="31"/>
          <w:szCs w:val="31"/>
          <w:lang w:val="en-US" w:eastAsia="zh-CN"/>
        </w:rPr>
        <w:t>。</w:t>
      </w:r>
    </w:p>
    <w:p w14:paraId="2D4CF3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立德树人研究</w:t>
      </w:r>
    </w:p>
    <w:p w14:paraId="20F829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围绕“培养什么人、怎样培养人、为谁培养人”根本问题，研究适合职业教育实际、职业学校学生特点的立德树人、德技并修人才培养模式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具体表现在思政教育、劳动教育、心理教育等方面的立德树人研究。</w:t>
      </w:r>
    </w:p>
    <w:p w14:paraId="46E23D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职业教育定位研究</w:t>
      </w:r>
    </w:p>
    <w:p w14:paraId="2B01D9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开展教育强国建设背景下职业教育发展功能定位研究，重点研究职业教育在现代化产业体系建设、区域协调发展、人的全面发展与共同富裕中的功能定位，以及在加快建设高质量教育体系中的战略地位。</w:t>
      </w:r>
    </w:p>
    <w:p w14:paraId="5F9344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产教融合研究</w:t>
      </w:r>
    </w:p>
    <w:p w14:paraId="0164B7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探究符合中国国情、中国实际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我校现况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职业教育产教融合规律。聚焦“一体两翼”实践，加强省域现代职业教育体系建设改革研究，围绕省域发展职业教育的体制机制创新、重大制度设计和资源优化配置，总结凝练职业教育主动服务区域重大战略、地方产业发展取得的积极成效，形成可复制、可推广的新经验、新范式。</w:t>
      </w:r>
    </w:p>
    <w:p w14:paraId="58DC4C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职普融通研究</w:t>
      </w:r>
    </w:p>
    <w:p w14:paraId="4FD39E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开展全学段职普融通实施路径研究。探究义务教育阶段职业启蒙教育渗透机制、高中阶段职业认知教育衔接模式、高等教育阶段职业技能与学术素养融合路径，系统总结各地在课程共建、师资共享、基地共育等方面的实践经验，推动形成职普两类教育互相支持、优势互补、互相促进的良好局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具体表现在职普融通、职教高考方面的研究与探索。</w:t>
      </w:r>
    </w:p>
    <w:p w14:paraId="04E4C8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职业教育标准和适配研究</w:t>
      </w:r>
    </w:p>
    <w:p w14:paraId="20D477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加强职业教育标准体系研究，研究中职、高职专科、职业本科等不同层次职业学校的办学条件标准、教学过程标准、质量评价标准等。</w:t>
      </w:r>
    </w:p>
    <w:p w14:paraId="2B7F4F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第二期“双高建设计划”研究</w:t>
      </w:r>
    </w:p>
    <w:p w14:paraId="277437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第一期“双高建设计划”在支撑地方产业发展、学校特色化发展等方面的经验和问题，为第二期“双高建设计划”建设提供改进方向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办学能力高水平、产教融合高质量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方面研究。</w:t>
      </w:r>
    </w:p>
    <w:p w14:paraId="087095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“五金”建设研究</w:t>
      </w:r>
    </w:p>
    <w:p w14:paraId="013364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加强“金专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金课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金师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金教材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金地”建设研究，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专业与产业紧密对接、深度融合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探索校企联合共建专业核心课程的有效路径，开展“课堂革命”实践研究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探究“金师良匠”成长路径，研究构建弘扬教育家精神的机制体系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研究开发优质新形态教材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研究整合企业、学校等多方实习实训资源，将企业真任务、真场景、真过程、真产品转化为实训教学内容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的实施路径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3DAF28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人工智能赋能职业教育研究</w:t>
      </w:r>
    </w:p>
    <w:p w14:paraId="561AA4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研究人工智能赋能职业教育的有效路径，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人工智能助学、助教、助研、助管。</w:t>
      </w:r>
    </w:p>
    <w:p w14:paraId="473DD6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9.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“职教出海”研究</w:t>
      </w:r>
    </w:p>
    <w:p w14:paraId="249F64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研究我校“职教出海”可行性及实施路线，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探索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生机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特色的“职教出海”理念、标准和模式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探索职业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教育国际比较研究，分析不同国家职业教育发展背景、体制变化、结构调整和政策创新，总结各国职业教育模式特点，为形成中国职业教育发展模式提供国际借鉴。</w:t>
      </w:r>
    </w:p>
    <w:p w14:paraId="5E2F31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10.现代农业研究</w:t>
      </w:r>
    </w:p>
    <w:p w14:paraId="7519F6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结合我校百年农职院校特色，学校农业优势领域，探索对接湖南省“4×4”现代产业体系中优势产业现代农业的相关自然、社会科学研究。</w:t>
      </w:r>
    </w:p>
    <w:p w14:paraId="0B7B5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 w14:paraId="154C041D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6B90"/>
    <w:rsid w:val="06C25174"/>
    <w:rsid w:val="08A003F2"/>
    <w:rsid w:val="0FBB2E20"/>
    <w:rsid w:val="12420B81"/>
    <w:rsid w:val="145A32A2"/>
    <w:rsid w:val="157A190F"/>
    <w:rsid w:val="199B4FE8"/>
    <w:rsid w:val="1A503BE5"/>
    <w:rsid w:val="1C5A72D1"/>
    <w:rsid w:val="1D0D4F44"/>
    <w:rsid w:val="1F1C677C"/>
    <w:rsid w:val="1F911778"/>
    <w:rsid w:val="20552034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5246B90"/>
    <w:rsid w:val="4794226B"/>
    <w:rsid w:val="55352A42"/>
    <w:rsid w:val="57164386"/>
    <w:rsid w:val="5C3D59F0"/>
    <w:rsid w:val="5CAE4799"/>
    <w:rsid w:val="5F062A0C"/>
    <w:rsid w:val="642F6714"/>
    <w:rsid w:val="67713464"/>
    <w:rsid w:val="68AC71E0"/>
    <w:rsid w:val="6B2E19B8"/>
    <w:rsid w:val="6F924BF1"/>
    <w:rsid w:val="716262B5"/>
    <w:rsid w:val="7289555C"/>
    <w:rsid w:val="73D35890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2025-07-28T06:42:00Z</dcterms:created>
  <dc:creator>资涛</dc:creator>
  <cp:lastModifiedBy>资涛</cp:lastModifiedBy>
  <dcterms:modified xsi:type="dcterms:W3CDTF">2025-07-28T06:44:46Z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0768BE20D82D4F908617C1DF26B1470D_11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